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Healthcare Ethics and the Law</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Name</w:t>
      </w:r>
    </w:p>
    <w:p>
      <w:pPr>
        <w:pStyle w:val="style0"/>
        <w:spacing w:lineRule="auto" w:line="480"/>
        <w:jc w:val="center"/>
        <w:rPr>
          <w:rFonts w:ascii="Times New Roman" w:cs="Times New Roman" w:hAnsi="Times New Roman"/>
          <w:sz w:val="24"/>
          <w:szCs w:val="24"/>
        </w:rPr>
      </w:pPr>
      <w:r>
        <w:rPr>
          <w:rFonts w:ascii="Times New Roman" w:cs="Times New Roman" w:hAnsi="Times New Roman"/>
          <w:sz w:val="24"/>
          <w:szCs w:val="24"/>
        </w:rPr>
        <w:t>Institution</w:t>
      </w: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Healthcare Ethics and the Law</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Ethics refer to settings' accepted code of conduct. Most of the ethics in various environments are drawn from the norms and values while others are drafted from legal a country's legal requirements (Griffiths et al., 2016). Healthcare settings are among the settings that have a stringent following of ethics. The ethics have a strong conne</w:t>
      </w:r>
      <w:bookmarkStart w:id="0" w:name="_GoBack"/>
      <w:bookmarkEnd w:id="0"/>
      <w:r>
        <w:rPr>
          <w:rFonts w:ascii="Times New Roman" w:cs="Times New Roman" w:hAnsi="Times New Roman"/>
          <w:sz w:val="24"/>
          <w:szCs w:val="24"/>
        </w:rPr>
        <w:t xml:space="preserve">ction with the laws of the land. Healthcare provision in the U.S, therefore, is drawn from the federal law albeit there are other ethical practices drawn from by-laws which are also in tandem with the federal law. In getting a better perspective of healthcare ethics and healthcare provision legal satisfaction, this paper analyzes two case scenarios; a case where I have worked and where I intend to work to bring out the differences that might come out in ethics and legal satisfaction of healthcare provision institutions. The comparison will focus on staffing requirements, hospital environment, patient rights and administrative structures in the two cases studies.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Staffing Requirements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Hospitals and healthcare provision centers must have adequate, qualified and support staff to carry out all the functions of healthcare provision facility. Some of the functions salient in healthcare provider organizations are treatment plans, treatment measures, discharge and handling of hospitals accounts and records (Smith et al., 2018). In my former station, staffing requirements were strict and straightforward. Staffing involved employing of qualified personnel in all departments. For instance, qualified personnel were employed in all departments to provide services like evaluation of patients, formulation and implementation of patient treatment plans, and all hospitals departments had specified personnel to carry out duties. Due to the specificity of the services that were being provided by the personnel, the staffing requirements were that each </w:t>
      </w:r>
      <w:r>
        <w:rPr>
          <w:rFonts w:ascii="Times New Roman" w:cs="Times New Roman" w:hAnsi="Times New Roman"/>
          <w:sz w:val="24"/>
          <w:szCs w:val="24"/>
        </w:rPr>
        <w:t xml:space="preserve">and every staff member has to be qualified in their areas of jurisdiction and there were overlapping of duties. In both situations, one of the staffing requirements is that the physicians are required to be proficient on the patient rights. Other requirements navigate around being a licensed physician and satisfactorily answering interview questions. </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 the contrary, in my interested station, there is overlapping of duties. Even though there are strict staffing regulations, nurses can be involved in offering patients services like counseling that could otherwise be offered in my former statin by the psychiatry department.   Hence, staffing regulations need individuals who can perform tasks in more than one area of specification.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Hospital Environment</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Hospital environment is not only important to patients but also to healthcare givers. For patients, Sholla et al. (2017) says environment creates a satisfactory environment for recovery and an ideal clean and safe environment that creates interaction in a friendly manner, clean air and away from pollutions that may expose patients to further illnesses. In analyzing my former work station, hospital environment was safe and secure for both patients as well as a safe working place for healthcare givers. There were minimal noise pollution and ideal resting places for patients as there was a park for recuperating patients to rest. The facility is similar to the facility am interested in in many ways concerning the environment. Both of them are in strict compliance of the healthcare environment regulations. Therefore, in said the stations, noise, color, lighting, space, and even the extent to which the environment has a bearing on a patient's wellness were highly under control. However, in the difference in the two stations is that in my former station, the patient environment was put more to consider than the healthcare givers' </w:t>
      </w:r>
      <w:r>
        <w:rPr>
          <w:rFonts w:ascii="Times New Roman" w:cs="Times New Roman" w:hAnsi="Times New Roman"/>
          <w:sz w:val="24"/>
          <w:szCs w:val="24"/>
        </w:rPr>
        <w:t xml:space="preserve">environment. The main difference is that in my institution of interest, the senior management recognizes the importance of better working conditions for healthcare givers hence environment in the facility is viewed as a tool that influences the way hospital services are provided.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Patient Rights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One of the most highlighted issues in healthcare provision which usually puts hospitals in sticky situations when legal and ethical issues are considered in patient rights (Larie &amp; Porter, 2018). Observation of patient rights is not only mandatory but also a requirement by the federal law. Nurses have a comprehensive understanding that patients have rights before and after they receive treatment. Forthrightly; patients have the right to effective communication, the right to participate in care decisions, to give informed consent, and to participate in end-to-end life decisions. In my former station, the administration was very keen on patient rights but was a little shy to punish cases reported to them about infringement of patient rights. Lack of punishment I believe was due to insufficient healthcare personnel. In the anticipated work station, the head administrator is very swift when it comes to violation of patient rights. Other rights in both instances are that there should be equity and lack of segregation in healthcare provision which now forms the basis of ethical practice in both healthcare centers. </w:t>
      </w: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The Administrative Structures</w:t>
      </w:r>
    </w:p>
    <w:p>
      <w:pPr>
        <w:pStyle w:val="style0"/>
        <w:spacing w:lineRule="auto" w:line="480"/>
        <w:rPr>
          <w:rFonts w:ascii="Times New Roman" w:cs="Times New Roman" w:hAnsi="Times New Roman"/>
          <w:sz w:val="24"/>
          <w:szCs w:val="24"/>
        </w:rPr>
      </w:pPr>
      <w:r>
        <w:rPr>
          <w:rFonts w:ascii="Times New Roman" w:cs="Times New Roman" w:hAnsi="Times New Roman"/>
          <w:sz w:val="24"/>
          <w:szCs w:val="24"/>
        </w:rPr>
        <w:t xml:space="preserve">The station that I was working in has a divisional organization structure. A divisional administrative structure is where an organization is divided into departments according to diseases they treat in a healthcare facility. Therefore, we had departments like oncology, pediatrics, and Neurosurgery among others. Here, nurses in those departments and healthcare providers would report to the main department head. On the contrary, the hospital is interested in </w:t>
      </w:r>
      <w:r>
        <w:rPr>
          <w:rFonts w:ascii="Times New Roman" w:cs="Times New Roman" w:hAnsi="Times New Roman"/>
          <w:sz w:val="24"/>
          <w:szCs w:val="24"/>
        </w:rPr>
        <w:t xml:space="preserve">exploring has a flat organizational structure. In flat hospital administrative structure, top-down kind of management of employees is disrupted and therefore increasing liberalism in the office. The control is flexible, and each employee is their boss. Here, the administrator has regular briefs on the employees and reminds them of the duties they should be performing to achieve hospital goals and patient needs. I, therefore, see that this kind of administration arrangement is different from the one at my former station and hence the difference in the administrative structure. However, in both administration arrangements, there is one chief controller of the organization from who activities are controlled. Directions come from the hospitals' Chief Executive Officer (C.E.O) to the entire employee albeit in my former station most of the instructions were received from department heads as communicated to them by the C.E.O. </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jc w:val="center"/>
        <w:rPr>
          <w:rFonts w:ascii="Times New Roman" w:cs="Times New Roman" w:hAnsi="Times New Roman"/>
          <w:b/>
          <w:sz w:val="24"/>
          <w:szCs w:val="24"/>
        </w:rPr>
      </w:pPr>
      <w:r>
        <w:rPr>
          <w:rFonts w:ascii="Times New Roman" w:cs="Times New Roman" w:hAnsi="Times New Roman"/>
          <w:b/>
          <w:sz w:val="24"/>
          <w:szCs w:val="24"/>
        </w:rPr>
        <w:t>References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Griffiths, P., Ball, J., Murrells, T., Jones, S., &amp; Rafferty, A. M. (2016). A registered nurse, healthcare support worker, medical staffing levels and mortality in English hospital trusts a cross-sectional study. BMJ Open, 6(2), e008751.</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Laurie, G. T., &amp; Porter, G. (2016). Mason and McCall Smith's law and medical ethics. Oxford University Press.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Sholla, S., Naaz, R., &amp; Chishti, M. A. (2017, July). Incorporating ethics in the internet of things (IoT) enabled connected smart healthcare. In Proceedings of the Second IEEE/ACM International Conference on Connected Health: Applications, Systems and Engineering Technologies (pp. 262-263). IEEE Press.</w:t>
      </w:r>
    </w:p>
    <w:p>
      <w:pPr>
        <w:pStyle w:val="style0"/>
        <w:spacing w:lineRule="auto" w:line="480"/>
        <w:ind w:left="720" w:hanging="720"/>
        <w:rPr>
          <w:rFonts w:ascii="Times New Roman" w:cs="Times New Roman" w:hAnsi="Times New Roman"/>
          <w:sz w:val="24"/>
          <w:szCs w:val="24"/>
        </w:rPr>
      </w:pPr>
      <w:r>
        <w:rPr>
          <w:rFonts w:ascii="Times New Roman" w:cs="Times New Roman" w:hAnsi="Times New Roman"/>
          <w:sz w:val="24"/>
          <w:szCs w:val="24"/>
        </w:rPr>
        <w:t>Smith, J. G., Morin, K. H., &amp; Lake, E. T. (2018). Association of the healthcare giver work environment with nurse incivility in hospitals. Journal of nursing management, 26(2), 219-226.</w:t>
      </w: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p>
      <w:pPr>
        <w:pStyle w:val="style0"/>
        <w:spacing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HEALTHCARE ETHICS AND LEGAL CONSIDERATIONS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p>
    <w:pPr>
      <w:pStyle w:val="style31"/>
      <w:rPr/>
    </w:pP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t>Running Head: HEALTHCARE ETHICS AND LEGAL CONSIDERATIONS</w:t>
    </w:r>
    <w:r>
      <w:rPr>
        <w:rFonts w:ascii="Times New Roman" w:cs="Times New Roman" w:hAnsi="Times New Roman"/>
        <w:sz w:val="24"/>
        <w:szCs w:val="24"/>
      </w:rPr>
      <w:t xml:space="preserve">                           </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b92889c0-f25a-48b6-8999-bfd3ffa2f5ee"/>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97035890-6a27-40f4-9d77-71f24abe6de4"/>
    <w:basedOn w:val="style65"/>
    <w:next w:val="style4098"/>
    <w:link w:val="style32"/>
    <w:uiPriority w:val="99"/>
  </w:style>
</w:styles>
</file>

<file path=word/_rels/document.xml.rels><?xml version="1.0" encoding="UTF-8"?>
<Relationships xmlns="http://schemas.openxmlformats.org/package/2006/relationships"><Relationship Id="rId2" Type="http://schemas.openxmlformats.org/officeDocument/2006/relationships/header" Target="header1.xml"/><Relationship Id="rId5" Type="http://schemas.openxmlformats.org/officeDocument/2006/relationships/fontTable" Target="fontTable.xml"/><Relationship Id="rId4" Type="http://schemas.openxmlformats.org/officeDocument/2006/relationships/styles" Target="styles.xml"/><Relationship Id="rId3" Type="http://schemas.openxmlformats.org/officeDocument/2006/relationships/header" Target="header2.xml"/><Relationship Id="rId6" Type="http://schemas.openxmlformats.org/officeDocument/2006/relationships/settings" Target="settings.xml"/><Relationship Id="rId1"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Words>1157</Words>
  <Pages>6</Pages>
  <Characters>6515</Characters>
  <Application>WPS Office</Application>
  <DocSecurity>0</DocSecurity>
  <Paragraphs>52</Paragraphs>
  <ScaleCrop>false</ScaleCrop>
  <LinksUpToDate>false</LinksUpToDate>
  <CharactersWithSpaces>7736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2019-01-25T10:25:44Z</dcterms:created>
  <dc:creator>SAMWEL ONDIEKI</dc:creator>
  <lastModifiedBy>TA-1021</lastModifiedBy>
  <dcterms:modified xsi:type="dcterms:W3CDTF">2019-01-25T10:25:44Z</dcterms:modified>
  <revision>4</revision>
</coreProperties>
</file>

<file path=docProps/custom.xml><?xml version="1.0" encoding="utf-8"?>
<Properties xmlns="http://schemas.openxmlformats.org/officeDocument/2006/custom-properties" xmlns:vt="http://schemas.openxmlformats.org/officeDocument/2006/docPropsVTypes"/>
</file>